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73353" w14:textId="55E63126" w:rsidR="00C519C4" w:rsidRDefault="00C519C4" w:rsidP="00C519C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106-e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7C52C8">
        <w:rPr>
          <w:rFonts w:ascii="Arial" w:hAnsi="Arial" w:cs="Arial"/>
          <w:b/>
          <w:bCs/>
        </w:rPr>
        <w:t>7706</w:t>
      </w:r>
    </w:p>
    <w:p w14:paraId="2688F0FD" w14:textId="77777777" w:rsidR="00C519C4" w:rsidRPr="00210D4C" w:rsidRDefault="00C519C4" w:rsidP="00C519C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August 16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B805E1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2021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1084D511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7A0A4F">
        <w:t>5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511C2A61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7A0A4F" w:rsidRPr="007A0A4F">
        <w:t xml:space="preserve">Discussion on </w:t>
      </w:r>
      <w:r w:rsidR="00052A5A">
        <w:t xml:space="preserve">RAN2 </w:t>
      </w:r>
      <w:r w:rsidR="007A0A4F" w:rsidRPr="007A0A4F">
        <w:t xml:space="preserve">LS on </w:t>
      </w:r>
      <w:r w:rsidR="00DF0976">
        <w:t>TA Pre-compensation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6E0ED19F" w14:textId="52C58E2D" w:rsidR="00631345" w:rsidRDefault="00E90E49" w:rsidP="007A0A4F">
      <w:pPr>
        <w:pStyle w:val="Heading1"/>
      </w:pPr>
      <w:r w:rsidRPr="00A6576F">
        <w:t>Introduction</w:t>
      </w:r>
    </w:p>
    <w:p w14:paraId="65E8C13E" w14:textId="4654FF58" w:rsidR="006400C7" w:rsidRDefault="007A0A4F" w:rsidP="007A0A4F">
      <w:pPr>
        <w:jc w:val="both"/>
        <w:rPr>
          <w:i/>
          <w:iCs/>
        </w:rPr>
      </w:pPr>
      <w:r>
        <w:t xml:space="preserve">RAN2 sent an LS on </w:t>
      </w:r>
      <w:r w:rsidR="00DF0976">
        <w:t>TA pre-compensation</w:t>
      </w:r>
      <w:r>
        <w:t xml:space="preserve"> with the following </w:t>
      </w:r>
      <w:r w:rsidR="00DF0976">
        <w:t>actions</w:t>
      </w:r>
      <w:r>
        <w:t xml:space="preserve"> </w:t>
      </w:r>
      <w:r>
        <w:fldChar w:fldCharType="begin"/>
      </w:r>
      <w:r>
        <w:instrText xml:space="preserve"> REF _Ref78543045 \r \h  \* MERGEFORMAT </w:instrText>
      </w:r>
      <w:r>
        <w:fldChar w:fldCharType="separate"/>
      </w:r>
      <w:r w:rsidR="00427D85">
        <w:t>[1]</w:t>
      </w:r>
      <w:r>
        <w:fldChar w:fldCharType="end"/>
      </w:r>
      <w:r>
        <w:t xml:space="preserve">: </w:t>
      </w:r>
      <w:r>
        <w:rPr>
          <w:i/>
          <w:iCs/>
        </w:rPr>
        <w:t xml:space="preserve"> </w:t>
      </w:r>
    </w:p>
    <w:p w14:paraId="7B416493" w14:textId="77777777" w:rsidR="007A0A4F" w:rsidRDefault="007A0A4F" w:rsidP="007A0A4F">
      <w:pPr>
        <w:jc w:val="both"/>
      </w:pPr>
    </w:p>
    <w:p w14:paraId="585585C4" w14:textId="280F25F3" w:rsidR="00DF0976" w:rsidRPr="00A505D1" w:rsidRDefault="00DF0976" w:rsidP="00A505D1">
      <w:pPr>
        <w:pStyle w:val="ListParagraph"/>
        <w:numPr>
          <w:ilvl w:val="0"/>
          <w:numId w:val="36"/>
        </w:numPr>
        <w:spacing w:after="120"/>
        <w:jc w:val="both"/>
        <w:rPr>
          <w:rFonts w:ascii="Times New Roman" w:hAnsi="Times New Roman"/>
          <w:sz w:val="24"/>
          <w:szCs w:val="24"/>
        </w:rPr>
      </w:pPr>
      <w:bookmarkStart w:id="0" w:name="_Hlk69893708"/>
      <w:r w:rsidRPr="00A505D1">
        <w:rPr>
          <w:rFonts w:ascii="Times New Roman" w:hAnsi="Times New Roman"/>
          <w:sz w:val="24"/>
          <w:szCs w:val="24"/>
        </w:rPr>
        <w:t>RAN2 respectfully requests RAN1 to prioritize the TA pre-compensation work on: (i) whether and/or what parameters to broadcast for TA pre-compensation, and (ii) when broadcasted, how often the broadcasted parameters are expected to change over time.</w:t>
      </w:r>
      <w:bookmarkEnd w:id="0"/>
      <w:r w:rsidRPr="00A505D1">
        <w:rPr>
          <w:rFonts w:ascii="Times New Roman" w:hAnsi="Times New Roman"/>
          <w:sz w:val="24"/>
          <w:szCs w:val="24"/>
        </w:rPr>
        <w:t xml:space="preserve"> </w:t>
      </w:r>
      <w:r w:rsidRPr="00A505D1">
        <w:rPr>
          <w:rFonts w:ascii="Times New Roman" w:hAnsi="Times New Roman"/>
          <w:sz w:val="24"/>
          <w:szCs w:val="24"/>
        </w:rPr>
        <w:tab/>
      </w:r>
    </w:p>
    <w:p w14:paraId="63F98D0A" w14:textId="2EFC7101" w:rsidR="00DF0976" w:rsidRPr="00A505D1" w:rsidRDefault="00DF0976" w:rsidP="00A505D1">
      <w:pPr>
        <w:pStyle w:val="ListParagraph"/>
        <w:numPr>
          <w:ilvl w:val="0"/>
          <w:numId w:val="3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505D1">
        <w:rPr>
          <w:rFonts w:ascii="Times New Roman" w:hAnsi="Times New Roman"/>
          <w:sz w:val="24"/>
          <w:szCs w:val="24"/>
        </w:rPr>
        <w:t>RAN2 respectfully requests RAN1 to provide input on: (i) how UE determines UE-gNB RTT, and (ii) what additional information needs to be broadcasted other than that for TA pre-compensation, if any.</w:t>
      </w:r>
    </w:p>
    <w:p w14:paraId="29434E04" w14:textId="48133A11" w:rsidR="00A505D1" w:rsidRDefault="00DF0976" w:rsidP="00DF0976">
      <w:pPr>
        <w:pStyle w:val="ListParagraph"/>
        <w:numPr>
          <w:ilvl w:val="0"/>
          <w:numId w:val="3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505D1">
        <w:rPr>
          <w:rFonts w:ascii="Times New Roman" w:hAnsi="Times New Roman"/>
          <w:sz w:val="24"/>
          <w:szCs w:val="24"/>
        </w:rPr>
        <w:t>RAN2 respectfully requests RAN1 to provide input on the exact content and frequency of UE reporting of information about the UE specific TA pre-compensation at least for uplink scheduling adaptation.</w:t>
      </w:r>
    </w:p>
    <w:p w14:paraId="24A76FA0" w14:textId="77777777" w:rsidR="00A505D1" w:rsidRPr="00A505D1" w:rsidRDefault="00A505D1" w:rsidP="00A505D1">
      <w:pPr>
        <w:pStyle w:val="ListParagraph"/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0D611A97" w14:textId="0BB6EA36" w:rsidR="004D28C2" w:rsidRPr="004D28C2" w:rsidRDefault="00DF0976" w:rsidP="00DF0976">
      <w:pPr>
        <w:spacing w:after="120"/>
        <w:jc w:val="both"/>
        <w:rPr>
          <w:rFonts w:eastAsia="PMingLiU"/>
          <w:lang w:eastAsia="zh-TW"/>
        </w:rPr>
      </w:pPr>
      <w:r>
        <w:t xml:space="preserve">The RAN1 replied with answers to the second question in </w:t>
      </w:r>
      <w:r>
        <w:fldChar w:fldCharType="begin"/>
      </w:r>
      <w:r>
        <w:instrText xml:space="preserve"> REF _Ref78795755 \r \h </w:instrText>
      </w:r>
      <w:r>
        <w:fldChar w:fldCharType="separate"/>
      </w:r>
      <w:r w:rsidR="00427D85">
        <w:t>[2]</w:t>
      </w:r>
      <w:r>
        <w:fldChar w:fldCharType="end"/>
      </w:r>
      <w:r>
        <w:t xml:space="preserve">. </w:t>
      </w:r>
      <w:r w:rsidR="007A0A4F" w:rsidRPr="008B35C8">
        <w:rPr>
          <w:lang w:eastAsia="x-none"/>
        </w:rPr>
        <w:t>I</w:t>
      </w:r>
      <w:r w:rsidR="007A0A4F">
        <w:rPr>
          <w:lang w:eastAsia="x-none"/>
        </w:rPr>
        <w:t>n this contribution, we discuss the</w:t>
      </w:r>
      <w:r>
        <w:rPr>
          <w:lang w:eastAsia="x-none"/>
        </w:rPr>
        <w:t xml:space="preserve"> remaining </w:t>
      </w:r>
      <w:r w:rsidR="00F32CCE">
        <w:rPr>
          <w:lang w:eastAsia="x-none"/>
        </w:rPr>
        <w:t xml:space="preserve">open issues on </w:t>
      </w:r>
      <w:r>
        <w:rPr>
          <w:rFonts w:eastAsiaTheme="minorEastAsia"/>
          <w:lang w:val="en-GB"/>
        </w:rPr>
        <w:t>TA pre-compensation</w:t>
      </w:r>
      <w:r w:rsidR="007A0A4F">
        <w:rPr>
          <w:rFonts w:eastAsia="PMingLiU"/>
          <w:lang w:eastAsia="zh-TW"/>
        </w:rPr>
        <w:t xml:space="preserve"> for the LS from RAN2. </w:t>
      </w:r>
    </w:p>
    <w:p w14:paraId="0C31D433" w14:textId="2C32A731" w:rsidR="002F2A58" w:rsidRDefault="00EA5A5B" w:rsidP="002F2A58">
      <w:pPr>
        <w:pStyle w:val="Heading1"/>
      </w:pPr>
      <w:r>
        <w:t>Discussion</w:t>
      </w:r>
    </w:p>
    <w:p w14:paraId="1DEE807B" w14:textId="3E572AAA" w:rsidR="00312231" w:rsidRDefault="00312231" w:rsidP="00F32CCE">
      <w:pPr>
        <w:jc w:val="both"/>
        <w:rPr>
          <w:rFonts w:eastAsia="SimSun"/>
        </w:rPr>
      </w:pPr>
      <w:r>
        <w:rPr>
          <w:rFonts w:eastAsia="SimSun"/>
        </w:rPr>
        <w:t xml:space="preserve">Regarding Q1 about the parameters to broadcast for TA pre-compensation, RAN1 has the following agreements: </w:t>
      </w:r>
    </w:p>
    <w:p w14:paraId="310C963C" w14:textId="62F23BB9" w:rsidR="00312231" w:rsidRDefault="00312231" w:rsidP="00F32CCE">
      <w:pPr>
        <w:jc w:val="both"/>
        <w:rPr>
          <w:rFonts w:eastAsia="SimSun"/>
        </w:rPr>
      </w:pPr>
    </w:p>
    <w:p w14:paraId="093AD996" w14:textId="77777777" w:rsidR="00312231" w:rsidRPr="00312231" w:rsidRDefault="00312231" w:rsidP="00312231">
      <w:pPr>
        <w:jc w:val="both"/>
        <w:rPr>
          <w:lang w:eastAsia="x-none"/>
        </w:rPr>
      </w:pPr>
      <w:r w:rsidRPr="00312231">
        <w:rPr>
          <w:highlight w:val="green"/>
          <w:lang w:eastAsia="x-none"/>
        </w:rPr>
        <w:t>Agreement:</w:t>
      </w:r>
    </w:p>
    <w:p w14:paraId="31BA0D9C" w14:textId="77777777" w:rsidR="00312231" w:rsidRPr="00312231" w:rsidRDefault="00312231" w:rsidP="00312231">
      <w:pPr>
        <w:jc w:val="both"/>
        <w:rPr>
          <w:color w:val="000000"/>
        </w:rPr>
      </w:pPr>
      <w:r w:rsidRPr="00312231">
        <w:rPr>
          <w:color w:val="000000"/>
        </w:rPr>
        <w:t>The Timing Advance applied by an NR NTN UE in</w:t>
      </w:r>
      <w:r w:rsidRPr="00312231">
        <w:rPr>
          <w:rStyle w:val="apple-converted-space"/>
          <w:color w:val="000000"/>
        </w:rPr>
        <w:t> </w:t>
      </w:r>
      <w:r w:rsidRPr="00312231">
        <w:rPr>
          <w:color w:val="000000"/>
        </w:rPr>
        <w:t>RRC_IDLE/INACTIVE and RRC_CONNECTED</w:t>
      </w:r>
      <w:r w:rsidRPr="00312231">
        <w:rPr>
          <w:rStyle w:val="apple-converted-space"/>
          <w:color w:val="000000"/>
        </w:rPr>
        <w:t> </w:t>
      </w:r>
      <w:r w:rsidRPr="00312231">
        <w:rPr>
          <w:color w:val="000000"/>
        </w:rPr>
        <w:t>is given by:</w:t>
      </w:r>
    </w:p>
    <w:p w14:paraId="49A8FA65" w14:textId="77777777" w:rsidR="00312231" w:rsidRPr="00312231" w:rsidRDefault="00AE6179" w:rsidP="00312231">
      <w:pPr>
        <w:jc w:val="both"/>
        <w:rPr>
          <w:color w:val="000000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/>
                  <w:bCs/>
                  <w:lang w:eastAsia="ko-KR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Calibri" w:hAnsi="Cambria Math"/>
                  <w:lang w:eastAsia="ko-KR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eastAsia="Calibri" w:hAnsi="Cambria Math"/>
                  <w:lang w:eastAsia="ko-KR"/>
                </w:rPr>
                <m:t>TA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lang w:eastAsia="ko-KR"/>
            </w:rPr>
            <m:t>=</m:t>
          </m:r>
          <m:d>
            <m:dPr>
              <m:ctrlPr>
                <w:rPr>
                  <w:rFonts w:ascii="Cambria Math" w:eastAsia="Calibri" w:hAnsi="Cambria Math"/>
                  <w:b/>
                  <w:bCs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TA,UE-specific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+N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TA,common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b/>
                      <w:bCs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+N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lang w:eastAsia="ko-KR"/>
                    </w:rPr>
                    <m:t>TA,offset</m:t>
                  </m:r>
                </m:sub>
              </m:sSub>
            </m:e>
          </m:d>
          <m:r>
            <m:rPr>
              <m:sty m:val="b"/>
            </m:rPr>
            <w:rPr>
              <w:rFonts w:ascii="Cambria Math" w:eastAsia="Calibri" w:hAnsi="Cambria Math"/>
              <w:lang w:eastAsia="ko-KR"/>
            </w:rPr>
            <m:t>×</m:t>
          </m:r>
          <m:sSub>
            <m:sSubPr>
              <m:ctrlPr>
                <w:rPr>
                  <w:rFonts w:ascii="Cambria Math" w:eastAsia="Calibri" w:hAnsi="Cambria Math"/>
                  <w:b/>
                  <w:bCs/>
                  <w:lang w:eastAsia="ko-KR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Calibri" w:hAnsi="Cambria Math"/>
                  <w:lang w:eastAsia="ko-KR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eastAsia="Calibri" w:hAnsi="Cambria Math"/>
                  <w:lang w:eastAsia="ko-KR"/>
                </w:rPr>
                <m:t>c</m:t>
              </m:r>
            </m:sub>
          </m:sSub>
        </m:oMath>
      </m:oMathPara>
    </w:p>
    <w:p w14:paraId="729AD263" w14:textId="77777777" w:rsidR="00312231" w:rsidRPr="00312231" w:rsidRDefault="00312231" w:rsidP="00312231">
      <w:pPr>
        <w:jc w:val="both"/>
        <w:rPr>
          <w:color w:val="000000"/>
          <w:lang w:val="fr-FR"/>
        </w:rPr>
      </w:pPr>
      <w:r w:rsidRPr="00312231">
        <w:rPr>
          <w:color w:val="000000"/>
        </w:rPr>
        <w:t>Where:</w:t>
      </w:r>
    </w:p>
    <w:p w14:paraId="38861275" w14:textId="77777777" w:rsidR="00312231" w:rsidRPr="00312231" w:rsidRDefault="00AE6179" w:rsidP="00312231">
      <w:pPr>
        <w:numPr>
          <w:ilvl w:val="0"/>
          <w:numId w:val="33"/>
        </w:numPr>
        <w:jc w:val="both"/>
        <w:rPr>
          <w:rFonts w:eastAsia="Times New Roman"/>
          <w:color w:val="000000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</m:t>
            </m:r>
          </m:sub>
        </m:sSub>
      </m:oMath>
      <w:r w:rsidR="00312231" w:rsidRPr="00312231">
        <w:rPr>
          <w:rStyle w:val="apple-converted-space"/>
          <w:rFonts w:eastAsia="Times New Roman"/>
          <w:color w:val="000000"/>
        </w:rPr>
        <w:t> </w:t>
      </w:r>
      <w:r w:rsidR="00312231" w:rsidRPr="00312231">
        <w:rPr>
          <w:i/>
          <w:iCs/>
          <w:color w:val="000000"/>
        </w:rPr>
        <w:t> </w:t>
      </w:r>
      <w:r w:rsidR="00312231" w:rsidRPr="00312231">
        <w:rPr>
          <w:rFonts w:eastAsia="Times New Roman"/>
          <w:color w:val="000000"/>
        </w:rPr>
        <w:t xml:space="preserve">is defined as 0 for PRACH and updated based on TA Command field in msg2/msgB and MAC CE TA command. </w:t>
      </w:r>
    </w:p>
    <w:p w14:paraId="0A7EDAF7" w14:textId="77777777" w:rsidR="00312231" w:rsidRPr="00312231" w:rsidRDefault="00312231" w:rsidP="00312231">
      <w:pPr>
        <w:numPr>
          <w:ilvl w:val="1"/>
          <w:numId w:val="33"/>
        </w:numPr>
        <w:jc w:val="both"/>
        <w:rPr>
          <w:rFonts w:eastAsia="Times New Roman"/>
        </w:rPr>
      </w:pPr>
      <w:r w:rsidRPr="00312231">
        <w:rPr>
          <w:rFonts w:eastAsia="Times New Roman"/>
        </w:rPr>
        <w:t>FFS: details of</w:t>
      </w:r>
      <w:r w:rsidRPr="00312231">
        <w:rPr>
          <w:rStyle w:val="apple-converted-space"/>
          <w:rFonts w:eastAsia="Times New Roman"/>
        </w:rPr>
        <w:t> </w:t>
      </w:r>
      <w:r w:rsidRPr="00312231">
        <w:rPr>
          <w:rFonts w:eastAsia="Times New Roman"/>
        </w:rPr>
        <w:t>N</w:t>
      </w:r>
      <w:r w:rsidRPr="00312231">
        <w:rPr>
          <w:rFonts w:eastAsia="Times New Roman"/>
          <w:vertAlign w:val="subscript"/>
        </w:rPr>
        <w:t>TA</w:t>
      </w:r>
      <w:r w:rsidRPr="00312231">
        <w:rPr>
          <w:rStyle w:val="apple-converted-space"/>
          <w:rFonts w:eastAsia="Times New Roman"/>
        </w:rPr>
        <w:t> </w:t>
      </w:r>
      <w:r w:rsidRPr="00312231">
        <w:rPr>
          <w:rFonts w:eastAsia="Times New Roman"/>
        </w:rPr>
        <w:t>update/accumulation.</w:t>
      </w:r>
    </w:p>
    <w:p w14:paraId="3FA2DBA5" w14:textId="77777777" w:rsidR="00312231" w:rsidRPr="00312231" w:rsidRDefault="00AE6179" w:rsidP="00312231">
      <w:pPr>
        <w:numPr>
          <w:ilvl w:val="0"/>
          <w:numId w:val="33"/>
        </w:numPr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TA,UE-specific</m:t>
            </m:r>
          </m:sub>
        </m:sSub>
      </m:oMath>
      <w:r w:rsidR="00312231" w:rsidRPr="00312231">
        <w:rPr>
          <w:rFonts w:eastAsia="Times New Roman"/>
        </w:rPr>
        <w:t>  is UE self-estimated TA to pre-compensate for the service link delay.</w:t>
      </w:r>
    </w:p>
    <w:p w14:paraId="65D11F55" w14:textId="77777777" w:rsidR="00312231" w:rsidRPr="00312231" w:rsidRDefault="00AE6179" w:rsidP="00312231">
      <w:pPr>
        <w:numPr>
          <w:ilvl w:val="0"/>
          <w:numId w:val="33"/>
        </w:numPr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TA,common</m:t>
            </m:r>
          </m:sub>
        </m:sSub>
      </m:oMath>
      <w:r w:rsidR="00312231" w:rsidRPr="00312231">
        <w:rPr>
          <w:rStyle w:val="apple-converted-space"/>
          <w:rFonts w:eastAsia="Times New Roman"/>
        </w:rPr>
        <w:t> </w:t>
      </w:r>
      <w:r w:rsidR="00312231" w:rsidRPr="00312231">
        <w:rPr>
          <w:rFonts w:eastAsia="Times New Roman"/>
        </w:rPr>
        <w:t>is network-controlled common TA, and may</w:t>
      </w:r>
      <w:r w:rsidR="00312231" w:rsidRPr="00312231">
        <w:rPr>
          <w:rStyle w:val="apple-converted-space"/>
          <w:rFonts w:eastAsia="Times New Roman"/>
        </w:rPr>
        <w:t> </w:t>
      </w:r>
      <w:r w:rsidR="00312231" w:rsidRPr="00312231">
        <w:rPr>
          <w:rFonts w:eastAsia="Times New Roman"/>
        </w:rPr>
        <w:t>include any timing offset considered necessary by the network.</w:t>
      </w:r>
    </w:p>
    <w:p w14:paraId="22ABEA47" w14:textId="77777777" w:rsidR="00312231" w:rsidRPr="00312231" w:rsidRDefault="00AE6179" w:rsidP="00312231">
      <w:pPr>
        <w:numPr>
          <w:ilvl w:val="0"/>
          <w:numId w:val="33"/>
        </w:numPr>
        <w:jc w:val="both"/>
        <w:rPr>
          <w:rFonts w:eastAsia="Times New Roman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TA,common</m:t>
            </m:r>
          </m:sub>
        </m:sSub>
      </m:oMath>
      <w:r w:rsidR="00312231" w:rsidRPr="00312231">
        <w:rPr>
          <w:rStyle w:val="apple-converted-space"/>
          <w:rFonts w:eastAsia="Times New Roman"/>
        </w:rPr>
        <w:t> </w:t>
      </w:r>
      <w:r w:rsidR="00312231" w:rsidRPr="00312231">
        <w:rPr>
          <w:rFonts w:eastAsia="Times New Roman"/>
        </w:rPr>
        <w:t xml:space="preserve">with value of 0 is supported. </w:t>
      </w:r>
    </w:p>
    <w:p w14:paraId="38477CEF" w14:textId="1DBA03EE" w:rsidR="00312231" w:rsidRPr="00312231" w:rsidRDefault="00312231" w:rsidP="00312231">
      <w:pPr>
        <w:numPr>
          <w:ilvl w:val="1"/>
          <w:numId w:val="33"/>
        </w:numPr>
        <w:jc w:val="both"/>
        <w:rPr>
          <w:rFonts w:eastAsia="Times New Roman"/>
        </w:rPr>
      </w:pPr>
      <w:r w:rsidRPr="00312231">
        <w:rPr>
          <w:rFonts w:eastAsia="Times New Roman"/>
        </w:rPr>
        <w:t>FFS:  details of signaling including granularity. </w:t>
      </w:r>
      <w:r w:rsidRPr="00312231">
        <w:rPr>
          <w:rStyle w:val="apple-converted-space"/>
          <w:rFonts w:eastAsia="Times New Roman"/>
        </w:rPr>
        <w:t> </w:t>
      </w:r>
    </w:p>
    <w:p w14:paraId="2990C02E" w14:textId="77777777" w:rsidR="00312231" w:rsidRPr="00312231" w:rsidRDefault="00AE6179" w:rsidP="00312231">
      <w:pPr>
        <w:numPr>
          <w:ilvl w:val="0"/>
          <w:numId w:val="33"/>
        </w:numPr>
        <w:jc w:val="both"/>
        <w:rPr>
          <w:rStyle w:val="apple-converted-space"/>
          <w:rFonts w:eastAsia="Times New Roman"/>
          <w:color w:val="000000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TA,offset</m:t>
            </m:r>
          </m:sub>
        </m:sSub>
      </m:oMath>
      <w:r w:rsidR="00312231" w:rsidRPr="00312231">
        <w:rPr>
          <w:rStyle w:val="apple-converted-space"/>
          <w:rFonts w:eastAsia="Times New Roman"/>
          <w:color w:val="000000"/>
        </w:rPr>
        <w:t> is a</w:t>
      </w:r>
      <w:r w:rsidR="00312231" w:rsidRPr="00312231">
        <w:rPr>
          <w:rFonts w:eastAsia="Times New Roman"/>
          <w:color w:val="000000"/>
        </w:rPr>
        <w:t xml:space="preserve"> fixed offset used to calculate the timing advance.</w:t>
      </w:r>
      <w:r w:rsidR="00312231" w:rsidRPr="00312231">
        <w:rPr>
          <w:rStyle w:val="apple-converted-space"/>
          <w:rFonts w:eastAsia="Times New Roman"/>
          <w:color w:val="000000"/>
        </w:rPr>
        <w:t> </w:t>
      </w:r>
    </w:p>
    <w:p w14:paraId="31297902" w14:textId="77777777" w:rsidR="00312231" w:rsidRPr="00312231" w:rsidRDefault="00312231" w:rsidP="00312231">
      <w:pPr>
        <w:ind w:left="720"/>
        <w:jc w:val="both"/>
        <w:rPr>
          <w:rFonts w:eastAsia="Times New Roman"/>
          <w:color w:val="000000"/>
        </w:rPr>
      </w:pPr>
    </w:p>
    <w:p w14:paraId="1F140278" w14:textId="77777777" w:rsidR="00312231" w:rsidRPr="00312231" w:rsidRDefault="00312231" w:rsidP="00312231">
      <w:pPr>
        <w:wordWrap w:val="0"/>
        <w:jc w:val="both"/>
        <w:rPr>
          <w:rFonts w:eastAsia="Calibri"/>
          <w:color w:val="000000"/>
        </w:rPr>
      </w:pPr>
      <w:r w:rsidRPr="00312231">
        <w:rPr>
          <w:color w:val="000000"/>
        </w:rPr>
        <w:lastRenderedPageBreak/>
        <w:t>Note-1: Definition of</w:t>
      </w:r>
      <w:r w:rsidRPr="00312231">
        <w:rPr>
          <w:rStyle w:val="apple-converted-space"/>
          <w:color w:val="000000"/>
        </w:rPr>
        <w:t> 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</m:t>
            </m:r>
          </m:sub>
        </m:sSub>
      </m:oMath>
      <w:r w:rsidRPr="00312231">
        <w:rPr>
          <w:rStyle w:val="apple-converted-space"/>
          <w:color w:val="000000"/>
        </w:rPr>
        <w:t> </w:t>
      </w:r>
      <w:r w:rsidRPr="00312231">
        <w:rPr>
          <w:color w:val="000000"/>
        </w:rPr>
        <w:t>is different from that in</w:t>
      </w:r>
      <w:r w:rsidRPr="00312231">
        <w:rPr>
          <w:rStyle w:val="apple-converted-space"/>
          <w:color w:val="000000"/>
        </w:rPr>
        <w:t> </w:t>
      </w:r>
      <w:r w:rsidRPr="00312231">
        <w:rPr>
          <w:color w:val="000000"/>
        </w:rPr>
        <w:t>RAN1#103-e agreement.</w:t>
      </w:r>
      <w:r w:rsidRPr="00312231">
        <w:rPr>
          <w:rStyle w:val="apple-converted-space"/>
          <w:color w:val="000000"/>
        </w:rPr>
        <w:t> </w:t>
      </w:r>
    </w:p>
    <w:p w14:paraId="5DAF66AC" w14:textId="77777777" w:rsidR="00312231" w:rsidRPr="00312231" w:rsidRDefault="00312231" w:rsidP="00312231">
      <w:pPr>
        <w:jc w:val="both"/>
        <w:rPr>
          <w:color w:val="000000"/>
        </w:rPr>
      </w:pPr>
      <w:r w:rsidRPr="00312231">
        <w:rPr>
          <w:color w:val="000000"/>
        </w:rPr>
        <w:t>Note-2: UE might not assume that the RTT between UE and gNB is equal to the calculated TA for Msg1/Msg A.</w:t>
      </w:r>
    </w:p>
    <w:p w14:paraId="2D02AD5A" w14:textId="04358B45" w:rsidR="00312231" w:rsidRDefault="00312231" w:rsidP="00312231">
      <w:pPr>
        <w:jc w:val="both"/>
        <w:rPr>
          <w:color w:val="000000"/>
        </w:rPr>
      </w:pPr>
      <w:r w:rsidRPr="00312231">
        <w:rPr>
          <w:color w:val="000000"/>
        </w:rPr>
        <w:t>Note-3:</w:t>
      </w:r>
      <w:r w:rsidRPr="00312231">
        <w:rPr>
          <w:rStyle w:val="apple-converted-space"/>
          <w:color w:val="000000"/>
        </w:rPr>
        <w:t> 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/>
                <w:lang w:eastAsia="ko-KR"/>
              </w:rPr>
              <m:t>TA,common</m:t>
            </m:r>
          </m:sub>
        </m:sSub>
      </m:oMath>
      <w:r w:rsidRPr="00312231">
        <w:rPr>
          <w:rStyle w:val="apple-converted-space"/>
          <w:color w:val="000000"/>
        </w:rPr>
        <w:t> </w:t>
      </w:r>
      <w:r w:rsidRPr="00312231">
        <w:rPr>
          <w:color w:val="000000"/>
        </w:rPr>
        <w:t>is the common timing offset</w:t>
      </w:r>
      <w:r w:rsidRPr="00312231">
        <w:rPr>
          <w:rStyle w:val="apple-converted-space"/>
          <w:color w:val="000000"/>
        </w:rPr>
        <w:t> </w:t>
      </w:r>
      <w:r w:rsidRPr="00312231">
        <w:t>X</w:t>
      </w:r>
      <w:r w:rsidRPr="00312231">
        <w:rPr>
          <w:rStyle w:val="apple-converted-space"/>
        </w:rPr>
        <w:t> </w:t>
      </w:r>
      <w:r w:rsidRPr="00312231">
        <w:rPr>
          <w:color w:val="000000"/>
        </w:rPr>
        <w:t>as agreed in RAN1 #103-e.</w:t>
      </w:r>
    </w:p>
    <w:p w14:paraId="152C8653" w14:textId="77777777" w:rsidR="00312231" w:rsidRPr="00312231" w:rsidRDefault="00312231" w:rsidP="00312231">
      <w:pPr>
        <w:jc w:val="both"/>
        <w:rPr>
          <w:color w:val="000000"/>
        </w:rPr>
      </w:pPr>
    </w:p>
    <w:p w14:paraId="5AC11981" w14:textId="77777777" w:rsidR="00312231" w:rsidRPr="00312231" w:rsidRDefault="00312231" w:rsidP="00312231">
      <w:pPr>
        <w:jc w:val="both"/>
        <w:rPr>
          <w:lang w:eastAsia="x-none"/>
        </w:rPr>
      </w:pPr>
      <w:r w:rsidRPr="00312231">
        <w:rPr>
          <w:highlight w:val="green"/>
          <w:lang w:eastAsia="x-none"/>
        </w:rPr>
        <w:t>Agreement:</w:t>
      </w:r>
    </w:p>
    <w:p w14:paraId="3CFC5277" w14:textId="77777777" w:rsidR="00312231" w:rsidRPr="00312231" w:rsidRDefault="00312231" w:rsidP="00312231">
      <w:pPr>
        <w:pStyle w:val="BodyText"/>
        <w:jc w:val="both"/>
        <w:rPr>
          <w:lang w:eastAsia="zh-TW"/>
        </w:rPr>
      </w:pPr>
      <w:r w:rsidRPr="00312231">
        <w:rPr>
          <w:lang w:eastAsia="zh-TW"/>
        </w:rPr>
        <w:t>Support serving-satellite ephemeris broadcast based on one or more of the following:</w:t>
      </w:r>
    </w:p>
    <w:p w14:paraId="36F46896" w14:textId="77777777" w:rsidR="00312231" w:rsidRPr="00312231" w:rsidRDefault="00312231" w:rsidP="00312231">
      <w:pPr>
        <w:pStyle w:val="BodyText"/>
        <w:numPr>
          <w:ilvl w:val="0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Set 1: Satellite position and velocity state vectors: </w:t>
      </w:r>
    </w:p>
    <w:p w14:paraId="595D15A9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position X,Y,Z in ECEF (m)  </w:t>
      </w:r>
    </w:p>
    <w:p w14:paraId="6314E60F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>velocity VX,VY,VZ in ECEF (m/s)</w:t>
      </w:r>
    </w:p>
    <w:p w14:paraId="33CABC58" w14:textId="77777777" w:rsidR="00312231" w:rsidRPr="00312231" w:rsidRDefault="00312231" w:rsidP="00312231">
      <w:pPr>
        <w:pStyle w:val="ListParagraph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  <w:lang w:eastAsia="zh-TW"/>
        </w:rPr>
      </w:pPr>
      <w:r w:rsidRPr="00312231">
        <w:rPr>
          <w:rFonts w:ascii="Times New Roman" w:hAnsi="Times New Roman"/>
          <w:sz w:val="24"/>
          <w:szCs w:val="24"/>
          <w:lang w:eastAsia="zh-TW"/>
        </w:rPr>
        <w:t>Set 2: At least the following parameters in orbital parameter ephemeris format:</w:t>
      </w:r>
    </w:p>
    <w:p w14:paraId="03A84F38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Semi-major axis α [m] </w:t>
      </w:r>
    </w:p>
    <w:p w14:paraId="6AF3C340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Eccentricity e </w:t>
      </w:r>
    </w:p>
    <w:p w14:paraId="24965906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Argument of periapsis ω [rad] </w:t>
      </w:r>
    </w:p>
    <w:p w14:paraId="36E20EE0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Longitude of ascending node Ω [rad] </w:t>
      </w:r>
    </w:p>
    <w:p w14:paraId="19617D18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 xml:space="preserve">Inclination i [rad] </w:t>
      </w:r>
    </w:p>
    <w:p w14:paraId="4C08D3C4" w14:textId="77777777" w:rsidR="00312231" w:rsidRPr="00312231" w:rsidRDefault="00312231" w:rsidP="00312231">
      <w:pPr>
        <w:pStyle w:val="BodyText"/>
        <w:numPr>
          <w:ilvl w:val="1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>Mean anomaly M [rad] at epoch time t</w:t>
      </w:r>
      <w:r w:rsidRPr="00312231">
        <w:rPr>
          <w:vertAlign w:val="subscript"/>
          <w:lang w:eastAsia="zh-TW"/>
        </w:rPr>
        <w:t>o</w:t>
      </w:r>
    </w:p>
    <w:p w14:paraId="09B0DC13" w14:textId="77777777" w:rsidR="00312231" w:rsidRPr="00312231" w:rsidRDefault="00312231" w:rsidP="00312231">
      <w:pPr>
        <w:pStyle w:val="BodyText"/>
        <w:numPr>
          <w:ilvl w:val="2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>FFS: Whether pre-provisioned ephemeris based on orbital elements can be used as reference. Thereby, only delta corrections can be broadcast in order to reduce the overhead</w:t>
      </w:r>
    </w:p>
    <w:p w14:paraId="60F77E85" w14:textId="77777777" w:rsidR="00312231" w:rsidRPr="00312231" w:rsidRDefault="00312231" w:rsidP="00312231">
      <w:pPr>
        <w:pStyle w:val="BodyText"/>
        <w:numPr>
          <w:ilvl w:val="0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>FFS: The field size for each parameter</w:t>
      </w:r>
    </w:p>
    <w:p w14:paraId="11BDA84F" w14:textId="77777777" w:rsidR="00312231" w:rsidRPr="00312231" w:rsidRDefault="00312231" w:rsidP="00312231">
      <w:pPr>
        <w:pStyle w:val="BodyText"/>
        <w:numPr>
          <w:ilvl w:val="0"/>
          <w:numId w:val="34"/>
        </w:numPr>
        <w:jc w:val="both"/>
        <w:rPr>
          <w:lang w:eastAsia="zh-TW"/>
        </w:rPr>
      </w:pPr>
      <w:r w:rsidRPr="00312231">
        <w:rPr>
          <w:lang w:eastAsia="zh-TW"/>
        </w:rPr>
        <w:t>FFS: The impact on signaling due to the required accuracy of serving-satellite ephemeris</w:t>
      </w:r>
    </w:p>
    <w:p w14:paraId="63730E1F" w14:textId="61D2F39C" w:rsidR="00312231" w:rsidRPr="00312231" w:rsidRDefault="00312231" w:rsidP="00312231">
      <w:pPr>
        <w:pStyle w:val="BodyText"/>
        <w:numPr>
          <w:ilvl w:val="0"/>
          <w:numId w:val="34"/>
        </w:numPr>
        <w:jc w:val="both"/>
        <w:rPr>
          <w:lang w:eastAsia="zh-TW"/>
        </w:rPr>
      </w:pPr>
      <w:r w:rsidRPr="00312231">
        <w:t>FFS: Whether down-selection is needed or both sets are supported</w:t>
      </w:r>
    </w:p>
    <w:p w14:paraId="01EA0127" w14:textId="44BB4556" w:rsidR="00312231" w:rsidRDefault="00312231" w:rsidP="00F32CCE">
      <w:pPr>
        <w:jc w:val="both"/>
        <w:rPr>
          <w:rFonts w:eastAsia="SimSun"/>
        </w:rPr>
      </w:pPr>
    </w:p>
    <w:p w14:paraId="5F5FD2BA" w14:textId="59EC513A" w:rsidR="00312231" w:rsidRDefault="00312231" w:rsidP="00F32CCE">
      <w:pPr>
        <w:jc w:val="both"/>
        <w:rPr>
          <w:rFonts w:eastAsia="SimSun"/>
        </w:rPr>
      </w:pPr>
      <w:r>
        <w:rPr>
          <w:rFonts w:eastAsia="SimSun"/>
        </w:rPr>
        <w:t xml:space="preserve">In other words, RAN1 has agreed to broadcast common TA and serving satellite ephemeris for TA pre-compensation. It is still under RAN1 discussion </w:t>
      </w:r>
      <w:r>
        <w:rPr>
          <w:rFonts w:eastAsia="SimSun"/>
        </w:rPr>
        <w:fldChar w:fldCharType="begin"/>
      </w:r>
      <w:r>
        <w:rPr>
          <w:rFonts w:eastAsia="SimSun"/>
        </w:rPr>
        <w:instrText xml:space="preserve"> REF _Ref60215586 \r \h </w:instrText>
      </w:r>
      <w:r>
        <w:rPr>
          <w:rFonts w:eastAsia="SimSun"/>
        </w:rPr>
      </w:r>
      <w:r>
        <w:rPr>
          <w:rFonts w:eastAsia="SimSun"/>
        </w:rPr>
        <w:fldChar w:fldCharType="separate"/>
      </w:r>
      <w:r w:rsidR="00427D85">
        <w:rPr>
          <w:rFonts w:eastAsia="SimSun"/>
        </w:rPr>
        <w:t>[3]</w:t>
      </w:r>
      <w:r>
        <w:rPr>
          <w:rFonts w:eastAsia="SimSun"/>
        </w:rPr>
        <w:fldChar w:fldCharType="end"/>
      </w:r>
      <w:r>
        <w:rPr>
          <w:rFonts w:eastAsia="SimSun"/>
        </w:rPr>
        <w:t xml:space="preserve"> whether to additionally broadcast common TA drift rate and common TA drift high order derivatives. This is</w:t>
      </w:r>
      <w:r w:rsidR="00D30850">
        <w:rPr>
          <w:rFonts w:eastAsia="SimSun"/>
        </w:rPr>
        <w:t xml:space="preserve"> aimed</w:t>
      </w:r>
      <w:r>
        <w:rPr>
          <w:rFonts w:eastAsia="SimSun"/>
        </w:rPr>
        <w:t xml:space="preserve"> to capture the time-varying common TA due to satellite movement. </w:t>
      </w:r>
    </w:p>
    <w:p w14:paraId="32A51C7A" w14:textId="1B5C732D" w:rsidR="00312231" w:rsidRDefault="00312231" w:rsidP="00F32CCE">
      <w:pPr>
        <w:jc w:val="both"/>
        <w:rPr>
          <w:rFonts w:eastAsia="SimSun"/>
        </w:rPr>
      </w:pPr>
    </w:p>
    <w:p w14:paraId="0A1BFE26" w14:textId="2F5742D4" w:rsidR="00312231" w:rsidRDefault="00312231" w:rsidP="00F32CCE">
      <w:pPr>
        <w:jc w:val="both"/>
        <w:rPr>
          <w:rFonts w:eastAsia="SimSun"/>
        </w:rPr>
      </w:pPr>
      <w:r>
        <w:rPr>
          <w:b/>
          <w:i/>
        </w:rPr>
        <w:t>Proposal</w:t>
      </w:r>
      <w:r w:rsidRPr="006B77DD">
        <w:rPr>
          <w:b/>
          <w:i/>
        </w:rPr>
        <w:t xml:space="preserve"> </w:t>
      </w:r>
      <w:r>
        <w:rPr>
          <w:b/>
          <w:i/>
        </w:rPr>
        <w:t>1</w:t>
      </w:r>
      <w:r w:rsidRPr="006B77DD">
        <w:rPr>
          <w:b/>
          <w:i/>
        </w:rPr>
        <w:t>:</w:t>
      </w:r>
      <w:r w:rsidRPr="004A7806">
        <w:rPr>
          <w:i/>
          <w:lang w:eastAsia="x-none"/>
        </w:rPr>
        <w:t xml:space="preserve"> </w:t>
      </w:r>
      <w:r>
        <w:rPr>
          <w:i/>
          <w:lang w:eastAsia="x-none"/>
        </w:rPr>
        <w:t xml:space="preserve">RAN1 to reply </w:t>
      </w:r>
      <w:r w:rsidR="00D30850">
        <w:rPr>
          <w:i/>
          <w:lang w:eastAsia="x-none"/>
        </w:rPr>
        <w:t>to RAN2 that f</w:t>
      </w:r>
      <w:r>
        <w:rPr>
          <w:i/>
          <w:lang w:eastAsia="x-none"/>
        </w:rPr>
        <w:t xml:space="preserve">or TA pre-compensation, network at least broadcasts serving satellite ephemeris and </w:t>
      </w:r>
      <w:r w:rsidR="00D30850">
        <w:rPr>
          <w:i/>
          <w:lang w:eastAsia="x-none"/>
        </w:rPr>
        <w:t xml:space="preserve">common TA. RAN1 is further checking whether common TA drift rate and common TA drift high order derivatives are also broadcasted. </w:t>
      </w:r>
    </w:p>
    <w:p w14:paraId="66A40B23" w14:textId="77777777" w:rsidR="00312231" w:rsidRDefault="00312231" w:rsidP="00F32CCE">
      <w:pPr>
        <w:jc w:val="both"/>
        <w:rPr>
          <w:rFonts w:eastAsia="SimSun"/>
        </w:rPr>
      </w:pPr>
    </w:p>
    <w:p w14:paraId="37F07498" w14:textId="1469EA09" w:rsidR="00F32CCE" w:rsidRDefault="007A0A4F" w:rsidP="00F32CCE">
      <w:pPr>
        <w:jc w:val="both"/>
        <w:rPr>
          <w:rFonts w:eastAsia="SimSun"/>
        </w:rPr>
      </w:pPr>
      <w:r>
        <w:rPr>
          <w:rFonts w:eastAsia="SimSun"/>
        </w:rPr>
        <w:t>Regarding Q</w:t>
      </w:r>
      <w:r w:rsidR="00DF0976">
        <w:rPr>
          <w:rFonts w:eastAsia="SimSun"/>
        </w:rPr>
        <w:t>3 about UE reporting of information about the UE specific TA pre-compensation at least for uplink scheduling adaption,</w:t>
      </w:r>
      <w:r w:rsidR="00F32CCE">
        <w:rPr>
          <w:rFonts w:eastAsia="SimSun"/>
        </w:rPr>
        <w:t xml:space="preserve"> there are some initial discussions in RAN1 #105-e meeting</w:t>
      </w:r>
      <w:r w:rsidR="00427D85">
        <w:rPr>
          <w:rFonts w:eastAsia="SimSun"/>
        </w:rPr>
        <w:t xml:space="preserve"> </w:t>
      </w:r>
      <w:r w:rsidR="00427D85">
        <w:rPr>
          <w:rFonts w:eastAsia="SimSun"/>
        </w:rPr>
        <w:fldChar w:fldCharType="begin"/>
      </w:r>
      <w:r w:rsidR="00427D85">
        <w:rPr>
          <w:rFonts w:eastAsia="SimSun"/>
        </w:rPr>
        <w:instrText xml:space="preserve"> REF _Ref78798647 \r \h </w:instrText>
      </w:r>
      <w:r w:rsidR="00427D85">
        <w:rPr>
          <w:rFonts w:eastAsia="SimSun"/>
        </w:rPr>
      </w:r>
      <w:r w:rsidR="00427D85">
        <w:rPr>
          <w:rFonts w:eastAsia="SimSun"/>
        </w:rPr>
        <w:fldChar w:fldCharType="separate"/>
      </w:r>
      <w:r w:rsidR="00427D85">
        <w:rPr>
          <w:rFonts w:eastAsia="SimSun"/>
        </w:rPr>
        <w:t>[4]</w:t>
      </w:r>
      <w:r w:rsidR="00427D85">
        <w:rPr>
          <w:rFonts w:eastAsia="SimSun"/>
        </w:rPr>
        <w:fldChar w:fldCharType="end"/>
      </w:r>
      <w:r w:rsidR="00F32CCE">
        <w:rPr>
          <w:rFonts w:eastAsia="SimSun"/>
        </w:rPr>
        <w:t xml:space="preserve">. </w:t>
      </w:r>
    </w:p>
    <w:p w14:paraId="3F9A7382" w14:textId="77777777" w:rsidR="00F32CCE" w:rsidRDefault="00F32CCE" w:rsidP="00F32CCE">
      <w:pPr>
        <w:jc w:val="both"/>
        <w:rPr>
          <w:rFonts w:eastAsia="SimSun"/>
        </w:rPr>
      </w:pPr>
    </w:p>
    <w:p w14:paraId="07144D1A" w14:textId="6CCF2D7D" w:rsidR="00F32CCE" w:rsidRPr="00F32CCE" w:rsidRDefault="00F32CCE" w:rsidP="00F32CCE">
      <w:pPr>
        <w:jc w:val="both"/>
        <w:rPr>
          <w:rFonts w:eastAsia="SimSun"/>
        </w:rPr>
      </w:pPr>
      <w:r>
        <w:rPr>
          <w:rFonts w:eastAsia="SimSun"/>
        </w:rPr>
        <w:t xml:space="preserve">In our understanding, </w:t>
      </w:r>
      <w:r>
        <w:t xml:space="preserve">the main purpose of UE reporting to gNB is to facilitate gNB’s derivation of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for uplink scheduling adaptation. Since</w:t>
      </w:r>
      <w:r w:rsidR="00B82E5E">
        <w:t xml:space="preserve"> the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assumed to have granularity of slots, the UE’s reporting does not need to have a smaller granularity. This could save the signaling overhead of UE reporting. </w:t>
      </w:r>
      <w:r w:rsidR="00EF3F8A">
        <w:t xml:space="preserve">A UE may report its suggested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EF3F8A">
        <w:t xml:space="preserve"> directly. </w:t>
      </w:r>
    </w:p>
    <w:p w14:paraId="04A3482B" w14:textId="2EFDA518" w:rsidR="00F32CCE" w:rsidRDefault="00F32CCE" w:rsidP="00431A7A">
      <w:pPr>
        <w:jc w:val="both"/>
        <w:rPr>
          <w:rFonts w:eastAsia="SimSun"/>
        </w:rPr>
      </w:pPr>
    </w:p>
    <w:p w14:paraId="1F1CCEE1" w14:textId="0FA62852" w:rsidR="00F32CCE" w:rsidRDefault="00F32CCE" w:rsidP="00F32CCE">
      <w:pPr>
        <w:jc w:val="both"/>
      </w:pPr>
      <w:r>
        <w:t>Regarding the UE reporting frequency, we think the event triggered approach</w:t>
      </w:r>
      <w:r w:rsidR="00B82E5E">
        <w:t xml:space="preserve"> should be</w:t>
      </w:r>
      <w:r>
        <w:t xml:space="preserve"> supported. Basically, a UE reports to gNB only if it detects the necessity of updating UE specific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. This could largely save the signaling of UE reporting. </w:t>
      </w:r>
    </w:p>
    <w:p w14:paraId="0E5E0DC6" w14:textId="77777777" w:rsidR="00870F72" w:rsidRDefault="00870F72" w:rsidP="007A0A4F">
      <w:pPr>
        <w:rPr>
          <w:b/>
          <w:i/>
        </w:rPr>
      </w:pPr>
    </w:p>
    <w:p w14:paraId="28E3ADD1" w14:textId="1E865D4E" w:rsidR="00C562AC" w:rsidRDefault="007A0A4F" w:rsidP="00C3463C">
      <w:pPr>
        <w:jc w:val="both"/>
        <w:rPr>
          <w:i/>
          <w:lang w:eastAsia="x-none"/>
        </w:rPr>
      </w:pPr>
      <w:r>
        <w:rPr>
          <w:b/>
          <w:i/>
        </w:rPr>
        <w:t>Proposal</w:t>
      </w:r>
      <w:r w:rsidRPr="006B77DD">
        <w:rPr>
          <w:b/>
          <w:i/>
        </w:rPr>
        <w:t xml:space="preserve"> </w:t>
      </w:r>
      <w:r w:rsidR="00D30850">
        <w:rPr>
          <w:b/>
          <w:i/>
        </w:rPr>
        <w:t>2</w:t>
      </w:r>
      <w:r w:rsidRPr="006B77DD">
        <w:rPr>
          <w:b/>
          <w:i/>
        </w:rPr>
        <w:t>:</w:t>
      </w:r>
      <w:r w:rsidRPr="004A7806">
        <w:rPr>
          <w:i/>
          <w:lang w:eastAsia="x-none"/>
        </w:rPr>
        <w:t xml:space="preserve"> </w:t>
      </w:r>
      <w:r w:rsidR="00B82E5E">
        <w:rPr>
          <w:i/>
          <w:lang w:eastAsia="x-none"/>
        </w:rPr>
        <w:t xml:space="preserve">For uplink scheduling adaptation, UE reported information has granularity of slots and the reporting is event triggered. </w:t>
      </w:r>
    </w:p>
    <w:p w14:paraId="4DB15385" w14:textId="77777777" w:rsidR="00B82E5E" w:rsidRPr="00B82E5E" w:rsidRDefault="00B82E5E" w:rsidP="00C3463C">
      <w:pPr>
        <w:jc w:val="both"/>
        <w:rPr>
          <w:i/>
          <w:lang w:eastAsia="x-none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7973EDF6" w14:textId="06A0E2D2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</w:t>
      </w:r>
      <w:r w:rsidR="00870F72">
        <w:t>on</w:t>
      </w:r>
      <w:r w:rsidR="00B82E5E">
        <w:t xml:space="preserve"> TA pre-compensation</w:t>
      </w:r>
      <w:r w:rsidR="00F2767C">
        <w:t xml:space="preserve">. </w:t>
      </w:r>
      <w:r>
        <w:t>Our proposals are as follows:</w:t>
      </w:r>
    </w:p>
    <w:p w14:paraId="5D294D97" w14:textId="342375CA" w:rsidR="00870F72" w:rsidRDefault="00870F72" w:rsidP="00BB4346">
      <w:pPr>
        <w:jc w:val="both"/>
      </w:pPr>
    </w:p>
    <w:p w14:paraId="476689D4" w14:textId="26EEF782" w:rsidR="00D30850" w:rsidRDefault="00D30850" w:rsidP="00D30850">
      <w:pPr>
        <w:jc w:val="both"/>
        <w:rPr>
          <w:rFonts w:eastAsia="SimSun"/>
        </w:rPr>
      </w:pPr>
      <w:r>
        <w:rPr>
          <w:b/>
          <w:i/>
        </w:rPr>
        <w:t>Proposal</w:t>
      </w:r>
      <w:r w:rsidRPr="006B77DD">
        <w:rPr>
          <w:b/>
          <w:i/>
        </w:rPr>
        <w:t xml:space="preserve"> </w:t>
      </w:r>
      <w:r>
        <w:rPr>
          <w:b/>
          <w:i/>
        </w:rPr>
        <w:t>1</w:t>
      </w:r>
      <w:r w:rsidRPr="006B77DD">
        <w:rPr>
          <w:b/>
          <w:i/>
        </w:rPr>
        <w:t>:</w:t>
      </w:r>
      <w:r w:rsidRPr="004A7806">
        <w:rPr>
          <w:i/>
          <w:lang w:eastAsia="x-none"/>
        </w:rPr>
        <w:t xml:space="preserve"> </w:t>
      </w:r>
      <w:r>
        <w:rPr>
          <w:i/>
          <w:lang w:eastAsia="x-none"/>
        </w:rPr>
        <w:t>RAN1 to reply to RAN2 that for TA pre-compensation, network at least broadcasts serving satellite ephemeris and common TA. RAN1 is further checking whether common TA drift rate and common TA drift high order derivatives are also broadcasted.</w:t>
      </w:r>
    </w:p>
    <w:p w14:paraId="4F6A986E" w14:textId="77777777" w:rsidR="00D30850" w:rsidRDefault="00D30850" w:rsidP="00BB4346">
      <w:pPr>
        <w:jc w:val="both"/>
      </w:pPr>
    </w:p>
    <w:p w14:paraId="34D9EB1E" w14:textId="792C6384" w:rsidR="00B82E5E" w:rsidRDefault="00B82E5E" w:rsidP="00B82E5E">
      <w:pPr>
        <w:jc w:val="both"/>
        <w:rPr>
          <w:i/>
          <w:lang w:eastAsia="x-none"/>
        </w:rPr>
      </w:pPr>
      <w:r>
        <w:rPr>
          <w:b/>
          <w:i/>
        </w:rPr>
        <w:t>Proposal</w:t>
      </w:r>
      <w:r w:rsidRPr="006B77DD">
        <w:rPr>
          <w:b/>
          <w:i/>
        </w:rPr>
        <w:t xml:space="preserve"> </w:t>
      </w:r>
      <w:r w:rsidR="00D30850">
        <w:rPr>
          <w:b/>
          <w:i/>
        </w:rPr>
        <w:t>2</w:t>
      </w:r>
      <w:r w:rsidRPr="006B77DD">
        <w:rPr>
          <w:b/>
          <w:i/>
        </w:rPr>
        <w:t>:</w:t>
      </w:r>
      <w:r w:rsidRPr="004A7806">
        <w:rPr>
          <w:i/>
          <w:lang w:eastAsia="x-none"/>
        </w:rPr>
        <w:t xml:space="preserve"> </w:t>
      </w:r>
      <w:r>
        <w:rPr>
          <w:i/>
          <w:lang w:eastAsia="x-none"/>
        </w:rPr>
        <w:t xml:space="preserve">For uplink scheduling adaptation, UE reported information has granularity of slots and the reporting is event triggered. </w:t>
      </w:r>
    </w:p>
    <w:p w14:paraId="1476409E" w14:textId="77777777" w:rsidR="006E0A84" w:rsidRDefault="006E0A84" w:rsidP="0068510F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5BDD531A" w14:textId="37809D8E" w:rsidR="00C519C4" w:rsidRPr="00F32CCE" w:rsidRDefault="00AB2419" w:rsidP="004D28C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59982016"/>
      <w:bookmarkStart w:id="2" w:name="_Ref78543045"/>
      <w:bookmarkStart w:id="3" w:name="_Ref49784738"/>
      <w:bookmarkStart w:id="4" w:name="_Ref29545847"/>
      <w:r w:rsidRPr="00F32CCE">
        <w:t>R</w:t>
      </w:r>
      <w:r w:rsidR="007A0A4F" w:rsidRPr="00F32CCE">
        <w:t>1</w:t>
      </w:r>
      <w:r w:rsidRPr="00F32CCE">
        <w:t>-2</w:t>
      </w:r>
      <w:r w:rsidR="007A0A4F" w:rsidRPr="00F32CCE">
        <w:t>1</w:t>
      </w:r>
      <w:r w:rsidR="00870F72" w:rsidRPr="00F32CCE">
        <w:t>0</w:t>
      </w:r>
      <w:r w:rsidR="00DF0976" w:rsidRPr="00F32CCE">
        <w:t>4230</w:t>
      </w:r>
      <w:r w:rsidRPr="00F32CCE">
        <w:t>,</w:t>
      </w:r>
      <w:r w:rsidR="007A0A4F" w:rsidRPr="00F32CCE">
        <w:t xml:space="preserve"> “</w:t>
      </w:r>
      <w:bookmarkStart w:id="5" w:name="_Hlk506457506"/>
      <w:bookmarkStart w:id="6" w:name="_Hlk42070541"/>
      <w:r w:rsidR="007A0A4F" w:rsidRPr="00F32CCE">
        <w:t xml:space="preserve">LS on </w:t>
      </w:r>
      <w:bookmarkEnd w:id="1"/>
      <w:bookmarkEnd w:id="5"/>
      <w:bookmarkEnd w:id="6"/>
      <w:r w:rsidR="00DF0976" w:rsidRPr="00F32CCE">
        <w:t>TA pre-compensation</w:t>
      </w:r>
      <w:r w:rsidR="007A0A4F" w:rsidRPr="00F32CCE">
        <w:t xml:space="preserve">,” </w:t>
      </w:r>
      <w:r w:rsidR="00DF0976" w:rsidRPr="00F32CCE">
        <w:t>May</w:t>
      </w:r>
      <w:r w:rsidR="007A0A4F" w:rsidRPr="00F32CCE">
        <w:t xml:space="preserve"> 2021.</w:t>
      </w:r>
      <w:bookmarkEnd w:id="2"/>
      <w:r w:rsidR="007A0A4F" w:rsidRPr="00F32CCE">
        <w:t xml:space="preserve"> </w:t>
      </w:r>
      <w:bookmarkEnd w:id="3"/>
      <w:bookmarkEnd w:id="4"/>
    </w:p>
    <w:p w14:paraId="5C291FA2" w14:textId="21455E51" w:rsidR="00DF0976" w:rsidRPr="00F32CCE" w:rsidRDefault="00DF0976" w:rsidP="004D28C2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7" w:name="_Ref78795755"/>
      <w:r w:rsidRPr="00F32CCE">
        <w:t>R1-2106341, “Reply LS on TA pre-compensation,” May 2021.</w:t>
      </w:r>
      <w:bookmarkEnd w:id="7"/>
      <w:r w:rsidRPr="00F32CCE">
        <w:t xml:space="preserve"> </w:t>
      </w:r>
    </w:p>
    <w:p w14:paraId="00D2E6DC" w14:textId="77777777" w:rsidR="00312231" w:rsidRDefault="00312231" w:rsidP="0031223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60215586"/>
      <w:bookmarkStart w:id="9" w:name="_Ref49784839"/>
      <w:r>
        <w:t>R1-2106290, “</w:t>
      </w:r>
      <w:r w:rsidRPr="00902581">
        <w:t>FL Summary on enhancements on UL time and frequency synchronization for NR NTN</w:t>
      </w:r>
      <w:r>
        <w:t>,” May 2021.</w:t>
      </w:r>
      <w:bookmarkEnd w:id="8"/>
      <w:r>
        <w:t xml:space="preserve">  </w:t>
      </w:r>
    </w:p>
    <w:p w14:paraId="7D4013D3" w14:textId="02653D33" w:rsidR="00F32CCE" w:rsidRPr="00F32CCE" w:rsidRDefault="00F32CCE" w:rsidP="00F32CC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0" w:name="_Ref78798647"/>
      <w:r>
        <w:t>R1-2106325, “Feature lead summary #5 on timing relationship enhancements,” May 2021.</w:t>
      </w:r>
      <w:bookmarkEnd w:id="9"/>
      <w:bookmarkEnd w:id="10"/>
      <w:r>
        <w:t xml:space="preserve">  </w:t>
      </w:r>
    </w:p>
    <w:sectPr w:rsidR="00F32CCE" w:rsidRPr="00F32CCE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E61D2" w14:textId="77777777" w:rsidR="00AE6179" w:rsidRDefault="00AE6179">
      <w:r>
        <w:separator/>
      </w:r>
    </w:p>
  </w:endnote>
  <w:endnote w:type="continuationSeparator" w:id="0">
    <w:p w14:paraId="163E7C80" w14:textId="77777777" w:rsidR="00AE6179" w:rsidRDefault="00AE6179">
      <w:r>
        <w:continuationSeparator/>
      </w:r>
    </w:p>
  </w:endnote>
  <w:endnote w:type="continuationNotice" w:id="1">
    <w:p w14:paraId="4DC2A1C0" w14:textId="77777777" w:rsidR="00AE6179" w:rsidRDefault="00AE61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C562AC" w:rsidRDefault="00C562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82228" w14:textId="77777777" w:rsidR="00AE6179" w:rsidRDefault="00AE6179">
      <w:r>
        <w:separator/>
      </w:r>
    </w:p>
  </w:footnote>
  <w:footnote w:type="continuationSeparator" w:id="0">
    <w:p w14:paraId="4D63AB23" w14:textId="77777777" w:rsidR="00AE6179" w:rsidRDefault="00AE6179">
      <w:r>
        <w:continuationSeparator/>
      </w:r>
    </w:p>
  </w:footnote>
  <w:footnote w:type="continuationNotice" w:id="1">
    <w:p w14:paraId="0F90FF92" w14:textId="77777777" w:rsidR="00AE6179" w:rsidRDefault="00AE61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D4E27"/>
    <w:multiLevelType w:val="hybridMultilevel"/>
    <w:tmpl w:val="AA56300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8DE5CA6"/>
    <w:multiLevelType w:val="hybridMultilevel"/>
    <w:tmpl w:val="23140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062F1"/>
    <w:multiLevelType w:val="hybridMultilevel"/>
    <w:tmpl w:val="09D0C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21445"/>
    <w:multiLevelType w:val="hybridMultilevel"/>
    <w:tmpl w:val="BEB6C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B5B6B"/>
    <w:multiLevelType w:val="hybridMultilevel"/>
    <w:tmpl w:val="3A08D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E722A"/>
    <w:multiLevelType w:val="hybridMultilevel"/>
    <w:tmpl w:val="2D14C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57BA6"/>
    <w:multiLevelType w:val="hybridMultilevel"/>
    <w:tmpl w:val="25101F30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" w15:restartNumberingAfterBreak="0">
    <w:nsid w:val="161432B4"/>
    <w:multiLevelType w:val="hybridMultilevel"/>
    <w:tmpl w:val="DC983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D4AE8"/>
    <w:multiLevelType w:val="hybridMultilevel"/>
    <w:tmpl w:val="78E2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76C0B44"/>
    <w:multiLevelType w:val="hybridMultilevel"/>
    <w:tmpl w:val="59EE6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52EAD"/>
    <w:multiLevelType w:val="hybridMultilevel"/>
    <w:tmpl w:val="D06A1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E0422"/>
    <w:multiLevelType w:val="hybridMultilevel"/>
    <w:tmpl w:val="1D8AA8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E13BD7"/>
    <w:multiLevelType w:val="hybridMultilevel"/>
    <w:tmpl w:val="E0BC3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B3583D"/>
    <w:multiLevelType w:val="hybridMultilevel"/>
    <w:tmpl w:val="CEB8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54954"/>
    <w:multiLevelType w:val="hybridMultilevel"/>
    <w:tmpl w:val="17347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70E19"/>
    <w:multiLevelType w:val="hybridMultilevel"/>
    <w:tmpl w:val="BD7CE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65186"/>
    <w:multiLevelType w:val="hybridMultilevel"/>
    <w:tmpl w:val="A1781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F5F28"/>
    <w:multiLevelType w:val="hybridMultilevel"/>
    <w:tmpl w:val="D4CE89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22"/>
  </w:num>
  <w:num w:numId="10">
    <w:abstractNumId w:val="0"/>
  </w:num>
  <w:num w:numId="11">
    <w:abstractNumId w:val="18"/>
  </w:num>
  <w:num w:numId="12">
    <w:abstractNumId w:val="30"/>
  </w:num>
  <w:num w:numId="13">
    <w:abstractNumId w:val="8"/>
  </w:num>
  <w:num w:numId="14">
    <w:abstractNumId w:val="5"/>
  </w:num>
  <w:num w:numId="15">
    <w:abstractNumId w:val="7"/>
  </w:num>
  <w:num w:numId="16">
    <w:abstractNumId w:val="29"/>
  </w:num>
  <w:num w:numId="17">
    <w:abstractNumId w:val="23"/>
  </w:num>
  <w:num w:numId="18">
    <w:abstractNumId w:val="34"/>
  </w:num>
  <w:num w:numId="19">
    <w:abstractNumId w:val="6"/>
  </w:num>
  <w:num w:numId="20">
    <w:abstractNumId w:val="3"/>
  </w:num>
  <w:num w:numId="21">
    <w:abstractNumId w:val="24"/>
  </w:num>
  <w:num w:numId="22">
    <w:abstractNumId w:val="32"/>
  </w:num>
  <w:num w:numId="23">
    <w:abstractNumId w:val="26"/>
  </w:num>
  <w:num w:numId="24">
    <w:abstractNumId w:val="4"/>
  </w:num>
  <w:num w:numId="25">
    <w:abstractNumId w:val="2"/>
  </w:num>
  <w:num w:numId="26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"/>
  </w:num>
  <w:num w:numId="29">
    <w:abstractNumId w:val="28"/>
  </w:num>
  <w:num w:numId="30">
    <w:abstractNumId w:val="33"/>
  </w:num>
  <w:num w:numId="31">
    <w:abstractNumId w:val="10"/>
  </w:num>
  <w:num w:numId="32">
    <w:abstractNumId w:val="11"/>
  </w:num>
  <w:num w:numId="33">
    <w:abstractNumId w:val="14"/>
  </w:num>
  <w:num w:numId="34">
    <w:abstractNumId w:val="15"/>
  </w:num>
  <w:num w:numId="35">
    <w:abstractNumId w:val="9"/>
  </w:num>
  <w:num w:numId="36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063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A5A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121B"/>
    <w:rsid w:val="000A1676"/>
    <w:rsid w:val="000A18D4"/>
    <w:rsid w:val="000A1967"/>
    <w:rsid w:val="000A1B71"/>
    <w:rsid w:val="000A1B7B"/>
    <w:rsid w:val="000A1BCE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3E1E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9B9"/>
    <w:rsid w:val="000C6C5E"/>
    <w:rsid w:val="000C7530"/>
    <w:rsid w:val="000C7FBF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32EA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5252"/>
    <w:rsid w:val="00135745"/>
    <w:rsid w:val="00135881"/>
    <w:rsid w:val="00135905"/>
    <w:rsid w:val="001360D8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E8A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489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1DF"/>
    <w:rsid w:val="001B25E5"/>
    <w:rsid w:val="001B274D"/>
    <w:rsid w:val="001B3C44"/>
    <w:rsid w:val="001B4453"/>
    <w:rsid w:val="001B49EC"/>
    <w:rsid w:val="001B52BA"/>
    <w:rsid w:val="001B5530"/>
    <w:rsid w:val="001B59C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1C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7DD"/>
    <w:rsid w:val="00221894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70E7"/>
    <w:rsid w:val="00237BC1"/>
    <w:rsid w:val="00237F43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1C0"/>
    <w:rsid w:val="00274A80"/>
    <w:rsid w:val="0027544A"/>
    <w:rsid w:val="00275549"/>
    <w:rsid w:val="0027586B"/>
    <w:rsid w:val="00276561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5A33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BA1"/>
    <w:rsid w:val="00311096"/>
    <w:rsid w:val="00311702"/>
    <w:rsid w:val="00311E82"/>
    <w:rsid w:val="00312190"/>
    <w:rsid w:val="00312231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515B"/>
    <w:rsid w:val="003251B5"/>
    <w:rsid w:val="003262F2"/>
    <w:rsid w:val="00326396"/>
    <w:rsid w:val="00326732"/>
    <w:rsid w:val="00326A64"/>
    <w:rsid w:val="0032739A"/>
    <w:rsid w:val="00327798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1AB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570"/>
    <w:rsid w:val="0037322F"/>
    <w:rsid w:val="0037323B"/>
    <w:rsid w:val="00374042"/>
    <w:rsid w:val="003742AC"/>
    <w:rsid w:val="00374839"/>
    <w:rsid w:val="003762E9"/>
    <w:rsid w:val="00376A1A"/>
    <w:rsid w:val="00376B9D"/>
    <w:rsid w:val="00377CE1"/>
    <w:rsid w:val="003807F1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BE"/>
    <w:rsid w:val="003879D8"/>
    <w:rsid w:val="00387E49"/>
    <w:rsid w:val="00390359"/>
    <w:rsid w:val="0039127E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27D85"/>
    <w:rsid w:val="004311DF"/>
    <w:rsid w:val="0043134C"/>
    <w:rsid w:val="0043149A"/>
    <w:rsid w:val="00431986"/>
    <w:rsid w:val="00431A7A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1D2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15D"/>
    <w:rsid w:val="00490604"/>
    <w:rsid w:val="00490A15"/>
    <w:rsid w:val="00490D41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EF9"/>
    <w:rsid w:val="004B3F31"/>
    <w:rsid w:val="004B409C"/>
    <w:rsid w:val="004B6327"/>
    <w:rsid w:val="004B676B"/>
    <w:rsid w:val="004B70A5"/>
    <w:rsid w:val="004B7821"/>
    <w:rsid w:val="004B7BFD"/>
    <w:rsid w:val="004B7C0C"/>
    <w:rsid w:val="004B7CA2"/>
    <w:rsid w:val="004C0045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146D"/>
    <w:rsid w:val="004D1A6A"/>
    <w:rsid w:val="004D1C02"/>
    <w:rsid w:val="004D2003"/>
    <w:rsid w:val="004D2209"/>
    <w:rsid w:val="004D28C2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631E"/>
    <w:rsid w:val="004F6B70"/>
    <w:rsid w:val="004F7717"/>
    <w:rsid w:val="004F7CF6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1DD6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34F"/>
    <w:rsid w:val="00582809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6250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1161"/>
    <w:rsid w:val="00601515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9D7"/>
    <w:rsid w:val="00616CC6"/>
    <w:rsid w:val="006175CD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7F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CEE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3D7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C8"/>
    <w:rsid w:val="006E73AE"/>
    <w:rsid w:val="006E75C5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11F"/>
    <w:rsid w:val="007422EF"/>
    <w:rsid w:val="007429DC"/>
    <w:rsid w:val="00742A0C"/>
    <w:rsid w:val="00742CCF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A4F"/>
    <w:rsid w:val="007A0BDD"/>
    <w:rsid w:val="007A194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C05DD"/>
    <w:rsid w:val="007C0ACB"/>
    <w:rsid w:val="007C0E11"/>
    <w:rsid w:val="007C1341"/>
    <w:rsid w:val="007C13ED"/>
    <w:rsid w:val="007C1EE8"/>
    <w:rsid w:val="007C20F6"/>
    <w:rsid w:val="007C2E19"/>
    <w:rsid w:val="007C309A"/>
    <w:rsid w:val="007C3D18"/>
    <w:rsid w:val="007C3E73"/>
    <w:rsid w:val="007C47C9"/>
    <w:rsid w:val="007C4DA2"/>
    <w:rsid w:val="007C52C8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2996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1B94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09A2"/>
    <w:rsid w:val="00831391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D38"/>
    <w:rsid w:val="00842225"/>
    <w:rsid w:val="0084355A"/>
    <w:rsid w:val="00843DEA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4558"/>
    <w:rsid w:val="00866A86"/>
    <w:rsid w:val="008677FD"/>
    <w:rsid w:val="00867F7D"/>
    <w:rsid w:val="00867F91"/>
    <w:rsid w:val="00870579"/>
    <w:rsid w:val="008706D4"/>
    <w:rsid w:val="00870997"/>
    <w:rsid w:val="00870F72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B4D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C20"/>
    <w:rsid w:val="008A21F2"/>
    <w:rsid w:val="008A21FF"/>
    <w:rsid w:val="008A2657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539"/>
    <w:rsid w:val="008D57F4"/>
    <w:rsid w:val="008D5CCD"/>
    <w:rsid w:val="008D634F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5A9"/>
    <w:rsid w:val="008F477F"/>
    <w:rsid w:val="008F681B"/>
    <w:rsid w:val="008F6FD2"/>
    <w:rsid w:val="008F7374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868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5E04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3EB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CA"/>
    <w:rsid w:val="00995DBD"/>
    <w:rsid w:val="009960EC"/>
    <w:rsid w:val="0099644A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A5F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D56"/>
    <w:rsid w:val="00A27785"/>
    <w:rsid w:val="00A27829"/>
    <w:rsid w:val="00A30187"/>
    <w:rsid w:val="00A304D1"/>
    <w:rsid w:val="00A30775"/>
    <w:rsid w:val="00A30D80"/>
    <w:rsid w:val="00A310AE"/>
    <w:rsid w:val="00A3175E"/>
    <w:rsid w:val="00A32084"/>
    <w:rsid w:val="00A323E2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5014C"/>
    <w:rsid w:val="00A50307"/>
    <w:rsid w:val="00A505D1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993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179"/>
    <w:rsid w:val="00AE6675"/>
    <w:rsid w:val="00AE6E02"/>
    <w:rsid w:val="00AE726B"/>
    <w:rsid w:val="00AE743A"/>
    <w:rsid w:val="00AF08CA"/>
    <w:rsid w:val="00AF0BB2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2E5E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3A4"/>
    <w:rsid w:val="00BA34C0"/>
    <w:rsid w:val="00BA3F6C"/>
    <w:rsid w:val="00BA47B3"/>
    <w:rsid w:val="00BA49CB"/>
    <w:rsid w:val="00BA4AAB"/>
    <w:rsid w:val="00BA4F1E"/>
    <w:rsid w:val="00BA56D2"/>
    <w:rsid w:val="00BA592D"/>
    <w:rsid w:val="00BA5E1B"/>
    <w:rsid w:val="00BA67D4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721C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3077"/>
    <w:rsid w:val="00BF3251"/>
    <w:rsid w:val="00BF3279"/>
    <w:rsid w:val="00BF3B6B"/>
    <w:rsid w:val="00BF3DA4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64C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995"/>
    <w:rsid w:val="00C54BC9"/>
    <w:rsid w:val="00C54D41"/>
    <w:rsid w:val="00C5517F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2365"/>
    <w:rsid w:val="00D2277F"/>
    <w:rsid w:val="00D239A7"/>
    <w:rsid w:val="00D23BE5"/>
    <w:rsid w:val="00D23F47"/>
    <w:rsid w:val="00D23F95"/>
    <w:rsid w:val="00D242E0"/>
    <w:rsid w:val="00D24951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085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2C29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C2D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20FC"/>
    <w:rsid w:val="00DA25B1"/>
    <w:rsid w:val="00DA305E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976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EFC"/>
    <w:rsid w:val="00E73840"/>
    <w:rsid w:val="00E73DC7"/>
    <w:rsid w:val="00E747A5"/>
    <w:rsid w:val="00E74859"/>
    <w:rsid w:val="00E758EC"/>
    <w:rsid w:val="00E75FF8"/>
    <w:rsid w:val="00E76551"/>
    <w:rsid w:val="00E7665F"/>
    <w:rsid w:val="00E76ACC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5E9"/>
    <w:rsid w:val="00EE3C98"/>
    <w:rsid w:val="00EE4C32"/>
    <w:rsid w:val="00EE5666"/>
    <w:rsid w:val="00EE5A1B"/>
    <w:rsid w:val="00EE626D"/>
    <w:rsid w:val="00EE674E"/>
    <w:rsid w:val="00EE6A74"/>
    <w:rsid w:val="00EE6AEB"/>
    <w:rsid w:val="00EE6E87"/>
    <w:rsid w:val="00EE71C1"/>
    <w:rsid w:val="00EE71DE"/>
    <w:rsid w:val="00EE7417"/>
    <w:rsid w:val="00EE7B5C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3F8A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2CCE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EE3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985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2020-03-27T20:08:00Z</dcterms:created>
  <dcterms:modified xsi:type="dcterms:W3CDTF">2021-08-06T00:48:00Z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